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66344D1" wp14:editId="1953D859">
            <wp:simplePos x="0" y="0"/>
            <wp:positionH relativeFrom="page">
              <wp:posOffset>152400</wp:posOffset>
            </wp:positionH>
            <wp:positionV relativeFrom="page">
              <wp:posOffset>225425</wp:posOffset>
            </wp:positionV>
            <wp:extent cx="7607300" cy="10607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60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AA3722" w:rsidRDefault="00AA3722" w:rsidP="00AA3722">
      <w:pPr>
        <w:spacing w:after="0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AA3722" w:rsidRDefault="00AA3722" w:rsidP="0095092C">
      <w:pPr>
        <w:spacing w:after="0"/>
        <w:jc w:val="center"/>
        <w:rPr>
          <w:rFonts w:cs="Times New Roman"/>
          <w:sz w:val="24"/>
          <w:szCs w:val="24"/>
          <w:lang w:val="en-US"/>
        </w:rPr>
      </w:pPr>
    </w:p>
    <w:p w:rsidR="0095092C" w:rsidRPr="00AA3722" w:rsidRDefault="0095092C" w:rsidP="0095092C">
      <w:pPr>
        <w:spacing w:after="0"/>
        <w:jc w:val="both"/>
        <w:rPr>
          <w:lang w:val="en-US"/>
        </w:rPr>
      </w:pPr>
    </w:p>
    <w:p w:rsidR="0095092C" w:rsidRPr="004D61F9" w:rsidRDefault="0095092C" w:rsidP="0095092C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4D61F9">
        <w:rPr>
          <w:rFonts w:cs="Times New Roman"/>
          <w:b/>
          <w:bCs/>
          <w:szCs w:val="28"/>
        </w:rPr>
        <w:t>ПОЯСНИТЕЛЬНАЯЗАПИСКА</w:t>
      </w:r>
    </w:p>
    <w:p w:rsidR="0095092C" w:rsidRDefault="0095092C" w:rsidP="0095092C">
      <w:pPr>
        <w:spacing w:after="0"/>
        <w:jc w:val="both"/>
      </w:pPr>
    </w:p>
    <w:p w:rsidR="00F12C76" w:rsidRDefault="0095092C" w:rsidP="0095092C">
      <w:pPr>
        <w:spacing w:after="0"/>
        <w:jc w:val="both"/>
      </w:pPr>
      <w:r>
        <w:t>Пояснительная записка Рабочая программа учебного предмета «Технология» для 2 класса (далее – Программа) составлена в соответствии с основной образовательной программой начального общего образования Муниципального бюджетного общеобразовательного учреждения «Средняя общеобразовательная школа № 15» городского округа Спасс</w:t>
      </w:r>
      <w:proofErr w:type="gramStart"/>
      <w:r>
        <w:t>к-</w:t>
      </w:r>
      <w:proofErr w:type="gramEnd"/>
      <w:r>
        <w:t xml:space="preserve"> Дальний, с учётом примерной программы по учебному предмету «Технология», входящей в систему «Начальная школа 21 века» под руководством профессора Н.Ф. Виноградовой. </w:t>
      </w:r>
      <w:proofErr w:type="gramStart"/>
      <w:r>
        <w:t xml:space="preserve">Реализация Программы обеспечивает выполнение требований ФГОС НОО и достижение следующих основных целей НОО: 1) для всех учебных предметов: - формирование у учащихся личностных, регулятивных, познавательных и коммуникативных универсальных учебных действий как основы умения учиться; - обеспечение приобретения учащимися первичных навыков работы с содержащейся в текстах информацией в процессе чтения соответствующих возрасту литературных, учебных, </w:t>
      </w:r>
      <w:proofErr w:type="spellStart"/>
      <w:r>
        <w:t>научнопознавательных</w:t>
      </w:r>
      <w:proofErr w:type="spellEnd"/>
      <w:r>
        <w:t xml:space="preserve"> текстов, инструкций;</w:t>
      </w:r>
      <w:proofErr w:type="gramEnd"/>
      <w:r>
        <w:t xml:space="preserve"> - </w:t>
      </w:r>
      <w:proofErr w:type="gramStart"/>
      <w:r>
        <w:t>формирование у учащихся навыков, необходимых для жизни и работы в современном высокотехнологичном обществе. 2) с учётом специфики учебного предмета «Технология»: 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2) усвоение первоначальных представлений о материальной культуре как продукте предметно-преобразующей деятельности человека;</w:t>
      </w:r>
      <w:proofErr w:type="gramEnd"/>
      <w:r>
        <w:t xml:space="preserve"> 3) приобретение навыков самообслуживания; овладение технологическими приемами ручной обработки материалов; усвоение правил техники безопасности; 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5) приобретение первоначальных навыков совместной продуктивной деятельности, сотрудничества, взаимопомощи, планирования и организации; 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Общая характеристика учебного предмета Содержание 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 Отличительные особенности отбора и построение содержания учебного материала: во 2 классе темы уроков отражают главным образом не названия изделий, а технологические операции, способы и приёмы, знания о материалах и конструкции, так как первые два года обучения — период освоения основных элементарных конструкторско-технологических знаний и </w:t>
      </w:r>
      <w:r>
        <w:lastRenderedPageBreak/>
        <w:t>умений. В программу 2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изделий. Изготовление изделий не есть цель урока. Изделия лишь средство для решения конкретных учебных задач. Выбор изделия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 Деятельность учащихся на уроках носит главным образом индивидуальный характер</w:t>
      </w:r>
      <w:proofErr w:type="gramStart"/>
      <w:r>
        <w:t xml:space="preserve"> .</w:t>
      </w:r>
      <w:proofErr w:type="gramEnd"/>
      <w:r>
        <w:t xml:space="preserve"> В зависимости от сложности темы творческие задания могут носить индивидуальный или коллективный характер.</w:t>
      </w:r>
    </w:p>
    <w:p w:rsidR="0095092C" w:rsidRDefault="0095092C" w:rsidP="0095092C">
      <w:pPr>
        <w:spacing w:line="274" w:lineRule="exact"/>
        <w:jc w:val="center"/>
        <w:rPr>
          <w:rFonts w:cs="Times New Roman"/>
          <w:b/>
          <w:bCs/>
          <w:szCs w:val="28"/>
        </w:rPr>
      </w:pPr>
    </w:p>
    <w:p w:rsidR="0095092C" w:rsidRDefault="0095092C" w:rsidP="0095092C">
      <w:pPr>
        <w:spacing w:line="274" w:lineRule="exact"/>
        <w:jc w:val="center"/>
        <w:rPr>
          <w:rFonts w:cs="Times New Roman"/>
          <w:b/>
          <w:bCs/>
          <w:szCs w:val="28"/>
        </w:rPr>
      </w:pPr>
      <w:r w:rsidRPr="00FF2B57">
        <w:rPr>
          <w:rFonts w:cs="Times New Roman"/>
          <w:b/>
          <w:bCs/>
          <w:szCs w:val="28"/>
        </w:rPr>
        <w:t>ПЛАНИРУЕМЫЕРЕЗУЛЬТАТЫОСВОЕНИЯУЧЕБНОГОПРЕДМЕТ</w:t>
      </w:r>
      <w:proofErr w:type="gramStart"/>
      <w:r w:rsidRPr="00FF2B57">
        <w:rPr>
          <w:rFonts w:cs="Times New Roman"/>
          <w:b/>
          <w:bCs/>
          <w:szCs w:val="28"/>
        </w:rPr>
        <w:t>А«</w:t>
      </w:r>
      <w:proofErr w:type="gramEnd"/>
      <w:r w:rsidRPr="00FF2B57">
        <w:rPr>
          <w:rFonts w:cs="Times New Roman"/>
          <w:b/>
          <w:bCs/>
          <w:szCs w:val="28"/>
        </w:rPr>
        <w:t>ТЕХНОЛОГИЯ»</w:t>
      </w:r>
    </w:p>
    <w:p w:rsidR="0095092C" w:rsidRDefault="0095092C" w:rsidP="0095092C">
      <w:pPr>
        <w:spacing w:line="274" w:lineRule="exact"/>
        <w:jc w:val="center"/>
        <w:rPr>
          <w:rFonts w:cs="Times New Roman"/>
          <w:b/>
          <w:bCs/>
          <w:szCs w:val="28"/>
        </w:rPr>
      </w:pPr>
    </w:p>
    <w:p w:rsidR="0095092C" w:rsidRPr="00FF2B57" w:rsidRDefault="0095092C" w:rsidP="0095092C">
      <w:pPr>
        <w:spacing w:before="179"/>
        <w:ind w:left="286"/>
        <w:jc w:val="center"/>
        <w:rPr>
          <w:rFonts w:cs="Times New Roman"/>
          <w:b/>
          <w:szCs w:val="28"/>
        </w:rPr>
      </w:pPr>
      <w:r w:rsidRPr="00FF2B57">
        <w:rPr>
          <w:rFonts w:cs="Times New Roman"/>
          <w:b/>
          <w:szCs w:val="28"/>
        </w:rPr>
        <w:t>ЛИЧНОСТНЫЕРЕЗУЛЬТАТЫОБУЧАЮЩЕГОСЯ</w:t>
      </w:r>
    </w:p>
    <w:p w:rsidR="0095092C" w:rsidRDefault="0095092C" w:rsidP="006C0B77">
      <w:pPr>
        <w:spacing w:after="0"/>
        <w:ind w:firstLine="709"/>
        <w:jc w:val="both"/>
      </w:pPr>
    </w:p>
    <w:p w:rsidR="0095092C" w:rsidRDefault="0095092C" w:rsidP="0095092C">
      <w:pPr>
        <w:spacing w:after="0"/>
        <w:jc w:val="both"/>
      </w:pPr>
      <w:r>
        <w:t xml:space="preserve">Самостоятельно определять и </w:t>
      </w:r>
      <w:proofErr w:type="gramStart"/>
      <w:r>
        <w:t>высказывать свои чувства</w:t>
      </w:r>
      <w:proofErr w:type="gramEnd"/>
      <w:r>
        <w:t xml:space="preserve"> и ощущения, возникающие в результате наблюдения, рассуждения, обсуждения наблюдаемых объектов, результатов трудовой деятельности человека-мастера; – в предложенных ситуациях, опираясь на общие для всех простые правила поведения, делать выбор, какое мнение принять (своё или другое, высказанное в ходе обсуждения). </w:t>
      </w:r>
    </w:p>
    <w:p w:rsidR="0095092C" w:rsidRDefault="0095092C" w:rsidP="0095092C">
      <w:pPr>
        <w:spacing w:after="0"/>
        <w:jc w:val="both"/>
      </w:pPr>
    </w:p>
    <w:p w:rsidR="00322306" w:rsidRPr="00C06408" w:rsidRDefault="00322306" w:rsidP="00322306">
      <w:pPr>
        <w:pStyle w:val="1"/>
        <w:spacing w:before="108"/>
        <w:ind w:left="0"/>
        <w:jc w:val="center"/>
        <w:rPr>
          <w:sz w:val="28"/>
          <w:szCs w:val="28"/>
        </w:rPr>
      </w:pPr>
      <w:r w:rsidRPr="00C06408">
        <w:rPr>
          <w:sz w:val="28"/>
          <w:szCs w:val="28"/>
        </w:rPr>
        <w:t>МЕТАПРЕДМЕТНЫЕРЕЗУЛЬТАТЫОБУЧАЮЩЕГОСЯ</w:t>
      </w:r>
    </w:p>
    <w:p w:rsidR="0095092C" w:rsidRDefault="0095092C" w:rsidP="0095092C">
      <w:pPr>
        <w:spacing w:after="0"/>
        <w:jc w:val="both"/>
      </w:pPr>
    </w:p>
    <w:p w:rsidR="00322306" w:rsidRDefault="0095092C" w:rsidP="0095092C">
      <w:pPr>
        <w:spacing w:after="0"/>
        <w:jc w:val="both"/>
      </w:pPr>
      <w:r>
        <w:t xml:space="preserve"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 – добывать новые знания: находить необходимую </w:t>
      </w:r>
      <w:proofErr w:type="gramStart"/>
      <w:r>
        <w:t>информацию</w:t>
      </w:r>
      <w:proofErr w:type="gramEnd"/>
      <w: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 – перерабатывать полученную информацию: наблюдать и самостоятельно делать простейшие обобщения и выводы. Регулятивные: – определять цель деятельности на уроке с помощью учителя и самостоятельно; – </w:t>
      </w:r>
      <w:proofErr w:type="gramStart"/>
      <w:r>
        <w:t>учиться совместно с учителем выявлять</w:t>
      </w:r>
      <w:proofErr w:type="gramEnd"/>
      <w:r>
        <w:t xml:space="preserve"> и формулировать учебную проблему (в ходе анализа предъявляемых заданий, образцов изделий); – учиться планировать практическую деятельность на уроке; – с помощью учителя отбирать наиболее подходящие для выполнения задания материалы и инструменты; – учиться предлагать свои конструкторско-технологические приёмы и способы выполнения отдельных этапов </w:t>
      </w:r>
      <w:r>
        <w:lastRenderedPageBreak/>
        <w:t>изготовления изделий (на основе продуктивных заданий в учебнике); – 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 xml:space="preserve">пределять успешность выполнения своего задания в диалоге с учителем. </w:t>
      </w:r>
    </w:p>
    <w:p w:rsidR="0095092C" w:rsidRDefault="0095092C" w:rsidP="0095092C">
      <w:pPr>
        <w:spacing w:after="0"/>
        <w:jc w:val="both"/>
      </w:pPr>
      <w:r>
        <w:t>Коммуникативные: – донести свою позицию до других; – слушать и понимать речь других; – вступать в беседу и обсуждение на уроке и в жизни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 xml:space="preserve">оговариваться сообща; – учиться выполнять предлагаемые задания в паре, группе из 3–4 человек. Предметные результаты: </w:t>
      </w:r>
    </w:p>
    <w:p w:rsidR="0095092C" w:rsidRDefault="0095092C" w:rsidP="006C0B77">
      <w:pPr>
        <w:spacing w:after="0"/>
        <w:ind w:firstLine="709"/>
        <w:jc w:val="both"/>
      </w:pPr>
      <w:r>
        <w:t xml:space="preserve">1.Общекультурные и </w:t>
      </w:r>
      <w:proofErr w:type="spellStart"/>
      <w:r>
        <w:t>общетрудовые</w:t>
      </w:r>
      <w:proofErr w:type="spellEnd"/>
      <w:r>
        <w:t xml:space="preserve"> компетенции. Основы культуры труда. Самообслуживание. Учащийся будет знать о: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элементарных общих </w:t>
      </w:r>
      <w:proofErr w:type="gramStart"/>
      <w:r>
        <w:t>правилах</w:t>
      </w:r>
      <w:proofErr w:type="gramEnd"/>
      <w:r>
        <w:t xml:space="preserve"> создания рукотворного мира (прочность, удобство, эстетическая выразительность, симметрия - асимметрия);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гармонии предметов и окружающей среды;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</w:t>
      </w:r>
      <w:proofErr w:type="gramStart"/>
      <w:r>
        <w:t>профессиях</w:t>
      </w:r>
      <w:proofErr w:type="gramEnd"/>
      <w:r>
        <w:t xml:space="preserve"> мастеров родного края;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характерных </w:t>
      </w:r>
      <w:proofErr w:type="gramStart"/>
      <w:r>
        <w:t>особенностях</w:t>
      </w:r>
      <w:proofErr w:type="gramEnd"/>
      <w:r>
        <w:t xml:space="preserve"> изученных видов декоративно-прикладного искусства. Учащийся будет уметь: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самостоятельно отбирать материалы и инструменты для работы;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готовить рабочее место в соответствии с видом деятельности, поддерживать порядок во время работы, убирать рабочее место;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свое или другое, высказанное в ходе обсуждения;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 </w:t>
      </w:r>
    </w:p>
    <w:p w:rsidR="0095092C" w:rsidRDefault="0095092C" w:rsidP="006C0B77">
      <w:pPr>
        <w:spacing w:after="0"/>
        <w:ind w:firstLine="709"/>
        <w:jc w:val="both"/>
      </w:pPr>
      <w:r>
        <w:t xml:space="preserve">2.Технология ручной обработки материалов. Основы </w:t>
      </w:r>
      <w:proofErr w:type="spellStart"/>
      <w:r>
        <w:t>художественнопрактической</w:t>
      </w:r>
      <w:proofErr w:type="spellEnd"/>
      <w:r>
        <w:t xml:space="preserve"> деятельности. Учащийся будет знать: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обобщенные названия технологических операций: разметка, получение деталей из заготовки, сборка изделия, отделка;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виды материалов, обозначенных в программе, их свойства и названия; </w:t>
      </w:r>
      <w:r>
        <w:sym w:font="Symbol" w:char="F0A7"/>
      </w:r>
      <w:r>
        <w:t xml:space="preserve"> происхождение натуральных тканей и их виды;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способы соединения деталей из разных материалов, изученные соединительные материалы;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основные характеристики и различия простейшего чертежа и эскиза; </w:t>
      </w:r>
      <w:r>
        <w:sym w:font="Symbol" w:char="F0A7"/>
      </w:r>
      <w:r>
        <w:t xml:space="preserve"> линии чертежа и приемы построения прямоугольника и окружности с помощью чертежных инструментов;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название, устройство и назначение чертежных инструментов (линейка, циркуль, угольник) Учащийся будет уметь: </w:t>
      </w:r>
    </w:p>
    <w:p w:rsidR="0095092C" w:rsidRDefault="0095092C" w:rsidP="006C0B77">
      <w:pPr>
        <w:spacing w:after="0"/>
        <w:ind w:firstLine="709"/>
        <w:jc w:val="both"/>
      </w:pPr>
      <w:r>
        <w:lastRenderedPageBreak/>
        <w:sym w:font="Symbol" w:char="F0A7"/>
      </w:r>
      <w:r>
        <w:t xml:space="preserve"> читать простейшие чертежи (эскизы);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выполнять экономную разметку с помощью чертежных инструментов с опорой на простейший чертеж (эскиз);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оформлять изделие и соединять детали прямой строчкой и ее вариантами;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справляться с доступными практическими заданиями с опорой на образец и инструкционную карту. </w:t>
      </w:r>
    </w:p>
    <w:p w:rsidR="0095092C" w:rsidRDefault="0095092C" w:rsidP="006C0B77">
      <w:pPr>
        <w:spacing w:after="0"/>
        <w:ind w:firstLine="709"/>
        <w:jc w:val="both"/>
      </w:pPr>
      <w:r>
        <w:t xml:space="preserve">3. Конструирование и моделирование. Учащийся будет знать: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неподвижный и подвижный способ соединения деталей;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отличие макета от модели. Учащийся будет уметь: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конструировать и моделировать изделия из различных материалов по модели, простейшему чертежу или эскизу; </w:t>
      </w:r>
    </w:p>
    <w:p w:rsidR="0095092C" w:rsidRDefault="0095092C" w:rsidP="006C0B77">
      <w:pPr>
        <w:spacing w:after="0"/>
        <w:ind w:firstLine="709"/>
        <w:jc w:val="both"/>
      </w:pPr>
      <w:r>
        <w:sym w:font="Symbol" w:char="F0A7"/>
      </w:r>
      <w:r>
        <w:t xml:space="preserve"> определять способ соединения деталей и выполнять подвижное неподвижное соединение известными способами. </w:t>
      </w:r>
    </w:p>
    <w:p w:rsidR="0095092C" w:rsidRDefault="0095092C" w:rsidP="006C0B77">
      <w:pPr>
        <w:spacing w:after="0"/>
        <w:ind w:firstLine="709"/>
        <w:jc w:val="both"/>
      </w:pPr>
      <w:r>
        <w:t xml:space="preserve">4. Использование информационных технологий. Учащийся будет </w:t>
      </w:r>
      <w:proofErr w:type="spellStart"/>
      <w:r>
        <w:t>знатьо</w:t>
      </w:r>
      <w:proofErr w:type="spellEnd"/>
      <w:r>
        <w:t>:</w:t>
      </w:r>
    </w:p>
    <w:p w:rsidR="0095092C" w:rsidRDefault="0095092C" w:rsidP="0095092C">
      <w:pPr>
        <w:spacing w:after="0"/>
        <w:jc w:val="both"/>
      </w:pPr>
      <w:r>
        <w:sym w:font="Symbol" w:char="F0A7"/>
      </w:r>
      <w:r>
        <w:t xml:space="preserve"> </w:t>
      </w:r>
      <w:proofErr w:type="gramStart"/>
      <w:r>
        <w:t>назначении</w:t>
      </w:r>
      <w:proofErr w:type="gramEnd"/>
      <w:r>
        <w:t xml:space="preserve"> персонального компьютера. Ученик научится: </w:t>
      </w:r>
    </w:p>
    <w:p w:rsidR="0095092C" w:rsidRDefault="0095092C" w:rsidP="0095092C">
      <w:pPr>
        <w:spacing w:after="0"/>
        <w:jc w:val="both"/>
      </w:pPr>
      <w:r>
        <w:sym w:font="Symbol" w:char="F0B7"/>
      </w:r>
      <w:r>
        <w:t xml:space="preserve"> самостоятельно выполнять пробные поисковые действия (упражнения) для выявления оптимального решения проблемы (задачи); </w:t>
      </w:r>
    </w:p>
    <w:p w:rsidR="0095092C" w:rsidRDefault="0095092C" w:rsidP="0095092C">
      <w:pPr>
        <w:spacing w:after="0"/>
        <w:jc w:val="both"/>
      </w:pPr>
      <w:r>
        <w:sym w:font="Symbol" w:char="F0B7"/>
      </w:r>
      <w:r>
        <w:t xml:space="preserve"> осуществлять текущий контроль точности выполнения технологических операций (с помощью простых по конфигурации шаблонов),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95092C" w:rsidRDefault="0095092C" w:rsidP="0095092C">
      <w:pPr>
        <w:spacing w:after="0"/>
        <w:jc w:val="both"/>
      </w:pPr>
      <w:r>
        <w:sym w:font="Symbol" w:char="F0B7"/>
      </w:r>
      <w:r>
        <w:t xml:space="preserve"> выполнять текущий контроль (точность изготовления деталей и аккуратность всей работы) и оценку выполненной работы по предложенным учителем критериям. Ученик получит возможность научиться: </w:t>
      </w:r>
    </w:p>
    <w:p w:rsidR="0095092C" w:rsidRDefault="0095092C" w:rsidP="0095092C">
      <w:pPr>
        <w:spacing w:after="0"/>
        <w:jc w:val="both"/>
      </w:pPr>
      <w:r>
        <w:sym w:font="Symbol" w:char="F0B7"/>
      </w:r>
      <w:r>
        <w:t xml:space="preserve"> 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справочниках; </w:t>
      </w:r>
    </w:p>
    <w:p w:rsidR="0095092C" w:rsidRDefault="0095092C" w:rsidP="0095092C">
      <w:pPr>
        <w:spacing w:after="0"/>
        <w:jc w:val="both"/>
      </w:pPr>
      <w:r>
        <w:sym w:font="Symbol" w:char="F0B7"/>
      </w:r>
      <w:r>
        <w:t xml:space="preserve"> коллективно разрабатывать несложные тематические проекты и самостоятельно их реализовывать, вносить коррективы в полученные результаты; •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</w:r>
    </w:p>
    <w:p w:rsidR="0095092C" w:rsidRDefault="0095092C" w:rsidP="0095092C">
      <w:pPr>
        <w:spacing w:after="0"/>
        <w:jc w:val="both"/>
      </w:pPr>
    </w:p>
    <w:p w:rsidR="00322306" w:rsidRDefault="00322306" w:rsidP="00322306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900A5">
        <w:rPr>
          <w:b/>
          <w:bCs/>
          <w:sz w:val="28"/>
          <w:szCs w:val="28"/>
        </w:rPr>
        <w:t>СОДЕРЖАНИЕУЧЕБНОГОПРЕДМЕТА</w:t>
      </w:r>
    </w:p>
    <w:p w:rsidR="0095092C" w:rsidRDefault="0095092C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  <w:r>
        <w:t xml:space="preserve">Художественная </w:t>
      </w:r>
      <w:proofErr w:type="gramStart"/>
      <w:r>
        <w:t>мастерская</w:t>
      </w:r>
      <w:proofErr w:type="gramEnd"/>
      <w:r>
        <w:t xml:space="preserve"> 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Как плоское превратить в объемное? Как согнуть картон по кривой линии? Чертёжная </w:t>
      </w:r>
      <w:proofErr w:type="gramStart"/>
      <w:r>
        <w:t>мастерская</w:t>
      </w:r>
      <w:proofErr w:type="gramEnd"/>
      <w:r>
        <w:t xml:space="preserve"> Что такое технологические операции и способы? Что такое линейка и что она умеет? </w:t>
      </w:r>
      <w:r>
        <w:lastRenderedPageBreak/>
        <w:t>Что 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Конструкторская мастерская</w:t>
      </w:r>
      <w:proofErr w:type="gramStart"/>
      <w:r>
        <w:t xml:space="preserve"> К</w:t>
      </w:r>
      <w:proofErr w:type="gramEnd"/>
      <w:r>
        <w:t xml:space="preserve">акой секрет у подвижных игрушек? Как из неподвижной игрушки сделать </w:t>
      </w:r>
      <w:proofErr w:type="gramStart"/>
      <w:r>
        <w:t>подвижную</w:t>
      </w:r>
      <w:proofErr w:type="gramEnd"/>
      <w:r>
        <w:t xml:space="preserve">? Еще один способ сделать игрушку подвижной. Что заставляет вращаться </w:t>
      </w:r>
      <w:proofErr w:type="spellStart"/>
      <w:r>
        <w:t>винтпропеллер</w:t>
      </w:r>
      <w:proofErr w:type="spellEnd"/>
      <w:r>
        <w:t>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Рукодельная мастерская</w:t>
      </w:r>
      <w:proofErr w:type="gramStart"/>
      <w:r>
        <w:t xml:space="preserve"> К</w:t>
      </w:r>
      <w:proofErr w:type="gramEnd"/>
      <w:r>
        <w:t>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учились?</w:t>
      </w: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95092C">
      <w:pPr>
        <w:spacing w:after="0"/>
        <w:jc w:val="both"/>
      </w:pPr>
    </w:p>
    <w:p w:rsidR="00322306" w:rsidRDefault="00322306" w:rsidP="00322306">
      <w:pPr>
        <w:autoSpaceDE w:val="0"/>
        <w:autoSpaceDN w:val="0"/>
        <w:spacing w:before="190" w:after="0" w:line="268" w:lineRule="auto"/>
        <w:ind w:left="2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ТЕМАТИЧЕСКОЕ ПЛАНИРОВАНИЕ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4613"/>
        <w:gridCol w:w="3035"/>
      </w:tblGrid>
      <w:tr w:rsidR="00322306" w:rsidTr="00322306">
        <w:tc>
          <w:tcPr>
            <w:tcW w:w="1456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4613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раздела</w:t>
            </w:r>
          </w:p>
        </w:tc>
        <w:tc>
          <w:tcPr>
            <w:tcW w:w="3035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часов</w:t>
            </w:r>
          </w:p>
        </w:tc>
      </w:tr>
      <w:tr w:rsidR="00322306" w:rsidTr="00322306">
        <w:tc>
          <w:tcPr>
            <w:tcW w:w="1456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13" w:type="dxa"/>
          </w:tcPr>
          <w:p w:rsidR="00322306" w:rsidRPr="00E82AEC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bCs/>
                <w:szCs w:val="28"/>
              </w:rPr>
            </w:pPr>
            <w:r>
              <w:t>Художественная мастерская</w:t>
            </w:r>
          </w:p>
        </w:tc>
        <w:tc>
          <w:tcPr>
            <w:tcW w:w="3035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322306" w:rsidTr="00322306">
        <w:tc>
          <w:tcPr>
            <w:tcW w:w="1456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13" w:type="dxa"/>
          </w:tcPr>
          <w:p w:rsidR="00322306" w:rsidRPr="00E82AEC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bCs/>
                <w:szCs w:val="28"/>
              </w:rPr>
            </w:pPr>
            <w:r>
              <w:t>Чертёжная мастерская</w:t>
            </w:r>
          </w:p>
        </w:tc>
        <w:tc>
          <w:tcPr>
            <w:tcW w:w="3035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322306" w:rsidTr="00322306">
        <w:tc>
          <w:tcPr>
            <w:tcW w:w="1456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13" w:type="dxa"/>
          </w:tcPr>
          <w:p w:rsidR="00322306" w:rsidRPr="00E82AEC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bCs/>
                <w:szCs w:val="28"/>
              </w:rPr>
            </w:pPr>
            <w:r>
              <w:t>Конструкторская мастерская</w:t>
            </w:r>
          </w:p>
        </w:tc>
        <w:tc>
          <w:tcPr>
            <w:tcW w:w="3035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</w:tr>
      <w:tr w:rsidR="00322306" w:rsidTr="00322306">
        <w:tc>
          <w:tcPr>
            <w:tcW w:w="1456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13" w:type="dxa"/>
          </w:tcPr>
          <w:p w:rsidR="00322306" w:rsidRPr="00E82AEC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t>Рукодельная мастерская</w:t>
            </w:r>
          </w:p>
        </w:tc>
        <w:tc>
          <w:tcPr>
            <w:tcW w:w="3035" w:type="dxa"/>
          </w:tcPr>
          <w:p w:rsidR="00322306" w:rsidRDefault="00322306" w:rsidP="0050170C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322306" w:rsidTr="00322306">
        <w:tc>
          <w:tcPr>
            <w:tcW w:w="1456" w:type="dxa"/>
          </w:tcPr>
          <w:p w:rsidR="00322306" w:rsidRDefault="00322306" w:rsidP="00322306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13" w:type="dxa"/>
          </w:tcPr>
          <w:p w:rsidR="00322306" w:rsidRPr="00E82AEC" w:rsidRDefault="00322306" w:rsidP="00322306">
            <w:pPr>
              <w:autoSpaceDE w:val="0"/>
              <w:autoSpaceDN w:val="0"/>
              <w:spacing w:before="190" w:line="268" w:lineRule="auto"/>
              <w:jc w:val="center"/>
              <w:rPr>
                <w:rFonts w:eastAsia="Times New Roman"/>
                <w:color w:val="000000"/>
                <w:w w:val="97"/>
                <w:szCs w:val="28"/>
              </w:rPr>
            </w:pPr>
            <w:r w:rsidRPr="00E82AEC">
              <w:rPr>
                <w:rFonts w:eastAsia="Times New Roman"/>
                <w:color w:val="000000"/>
                <w:w w:val="97"/>
                <w:szCs w:val="28"/>
              </w:rPr>
              <w:t>ОБЩЕЕ КОЛИЧЕСТВО ЧАСОВ ПО ПРОГРАММЕ</w:t>
            </w:r>
          </w:p>
        </w:tc>
        <w:tc>
          <w:tcPr>
            <w:tcW w:w="3035" w:type="dxa"/>
          </w:tcPr>
          <w:p w:rsidR="00322306" w:rsidRDefault="00322306" w:rsidP="00322306">
            <w:pPr>
              <w:autoSpaceDE w:val="0"/>
              <w:autoSpaceDN w:val="0"/>
              <w:spacing w:before="190" w:line="26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</w:tbl>
    <w:p w:rsidR="00322306" w:rsidRPr="00E82AEC" w:rsidRDefault="00322306" w:rsidP="00322306">
      <w:pPr>
        <w:autoSpaceDE w:val="0"/>
        <w:autoSpaceDN w:val="0"/>
        <w:spacing w:before="190" w:after="0" w:line="268" w:lineRule="auto"/>
        <w:ind w:left="240"/>
        <w:jc w:val="center"/>
        <w:rPr>
          <w:rFonts w:cs="Times New Roman"/>
          <w:szCs w:val="28"/>
        </w:rPr>
      </w:pPr>
    </w:p>
    <w:p w:rsidR="00322306" w:rsidRDefault="00322306" w:rsidP="0095092C">
      <w:pPr>
        <w:spacing w:after="0"/>
        <w:jc w:val="both"/>
      </w:pPr>
    </w:p>
    <w:sectPr w:rsidR="003223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92C"/>
    <w:rsid w:val="00322306"/>
    <w:rsid w:val="006402D5"/>
    <w:rsid w:val="006C0B77"/>
    <w:rsid w:val="006D7616"/>
    <w:rsid w:val="008242FF"/>
    <w:rsid w:val="00870751"/>
    <w:rsid w:val="008B074F"/>
    <w:rsid w:val="00922C48"/>
    <w:rsid w:val="0095092C"/>
    <w:rsid w:val="00AA3722"/>
    <w:rsid w:val="00AF7C8A"/>
    <w:rsid w:val="00B915B7"/>
    <w:rsid w:val="00EA59DF"/>
    <w:rsid w:val="00EE4070"/>
    <w:rsid w:val="00EE4B5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322306"/>
    <w:pPr>
      <w:widowControl w:val="0"/>
      <w:autoSpaceDE w:val="0"/>
      <w:autoSpaceDN w:val="0"/>
      <w:spacing w:before="66" w:after="0"/>
      <w:ind w:left="28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23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2306"/>
    <w:pPr>
      <w:widowControl w:val="0"/>
      <w:autoSpaceDE w:val="0"/>
      <w:autoSpaceDN w:val="0"/>
      <w:spacing w:after="0"/>
      <w:ind w:left="106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230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22306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2023-11-10T12:26:00Z</cp:lastPrinted>
  <dcterms:created xsi:type="dcterms:W3CDTF">2023-08-22T13:40:00Z</dcterms:created>
  <dcterms:modified xsi:type="dcterms:W3CDTF">2023-11-10T11:42:00Z</dcterms:modified>
</cp:coreProperties>
</file>